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4F0F7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424242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424242"/>
          <w:spacing w:val="0"/>
          <w:sz w:val="21"/>
          <w:szCs w:val="21"/>
          <w:shd w:val="clear" w:fill="E4F0F7"/>
        </w:rPr>
        <w:t>招聘方向</w:t>
      </w:r>
    </w:p>
    <w:tbl>
      <w:tblPr>
        <w:tblW w:w="534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26"/>
        <w:gridCol w:w="2488"/>
        <w:gridCol w:w="14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  <w:t>岗位序号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  <w:t>招聘专业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u w:val="none"/>
              </w:rPr>
              <w:t>需求人数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高分子化学与物理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9 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物理化学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无机化学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分析化学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应用化学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生物化工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物理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材料学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5 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材料化学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计算化学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橡胶相关专业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细胞生物学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电子科学与技术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冶金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药理学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自动控制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5" w:hRule="atLeast"/>
          <w:jc w:val="center"/>
        </w:trPr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总计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60 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4470C"/>
    <w:rsid w:val="587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2020-02-20T09:29:00Z</dcterms:created>
  <dc:creator>那时花开咖啡馆。</dc:creator>
  <cp:lastModifiedBy>那时花开咖啡馆。</cp:lastModifiedBy>
  <dcterms:modified xsi:type="dcterms:W3CDTF">2020-02-20T09:30:47Z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