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43333"/>
          <w:sz w:val="20"/>
          <w:szCs w:val="20"/>
          <w:bdr w:val="none" w:color="auto" w:sz="0" w:space="0"/>
          <w:shd w:val="clear" w:fill="FAFCFF"/>
        </w:rPr>
        <w:t>岗位专业要求</w:t>
      </w:r>
    </w:p>
    <w:tbl>
      <w:tblPr>
        <w:tblW w:w="8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910"/>
        <w:gridCol w:w="2062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科研辅助及管理岗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法学、管理学、土木工程、地球物理学、会计学、工程管理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岗位需经常加班及出差，适合男性；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应届毕业生；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105" w:leftChars="50" w:right="105" w:rightChars="5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学历要求均为全日制统招统分应届毕业生。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17067"/>
    <w:rsid w:val="10D170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2018-10-24T05:10:00Z</dcterms:created>
  <dc:creator>ASUS</dc:creator>
  <cp:lastModifiedBy>ASUS</cp:lastModifiedBy>
  <dcterms:modified xsi:type="dcterms:W3CDTF">2018-10-24T05:10:06Z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