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1D1D1D"/>
          <w:spacing w:val="0"/>
          <w:sz w:val="17"/>
          <w:szCs w:val="1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1D1D1D"/>
          <w:spacing w:val="0"/>
          <w:sz w:val="17"/>
          <w:szCs w:val="17"/>
          <w:bdr w:val="none" w:color="auto" w:sz="0" w:space="0"/>
          <w:shd w:val="clear" w:fill="FFFFFF"/>
        </w:rPr>
        <w:t>招聘岗位及要求</w:t>
      </w:r>
    </w:p>
    <w:tbl>
      <w:tblPr>
        <w:tblW w:w="7559" w:type="dxa"/>
        <w:jc w:val="center"/>
        <w:tblInd w:w="48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605"/>
        <w:gridCol w:w="476"/>
        <w:gridCol w:w="1655"/>
        <w:gridCol w:w="827"/>
        <w:gridCol w:w="1179"/>
        <w:gridCol w:w="8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名称</w:t>
            </w:r>
          </w:p>
        </w:tc>
        <w:tc>
          <w:tcPr>
            <w:tcW w:w="1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岗位简介</w:t>
            </w:r>
          </w:p>
        </w:tc>
        <w:tc>
          <w:tcPr>
            <w:tcW w:w="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16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学位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  <w:tc>
          <w:tcPr>
            <w:tcW w:w="11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其他</w:t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条件</w:t>
            </w:r>
          </w:p>
        </w:tc>
        <w:tc>
          <w:tcPr>
            <w:tcW w:w="8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生源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数字农业信息技术类研究室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农业智能感知技术研究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计算机应用（包括人工智能、计算机视觉、模式分类、图像识别专业）等相关专业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硕士及以上（博士优先）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具有深度学习的应用和研究背景，在相关领域发表过高水平论文优先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京外生源应届毕业生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数据科学类研究室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文本挖掘和分析处理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图书情报、计算机科学、信息科学等相关专业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硕士及以上（博士优先）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京外生源应届毕业生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9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农业信息管理与服务类研究室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学科咨询服务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食品科学或营养学等相关专业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硕士及以上（博士优先）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8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1D1D1D"/>
                <w:spacing w:val="0"/>
                <w:sz w:val="24"/>
                <w:szCs w:val="24"/>
                <w:bdr w:val="none" w:color="auto" w:sz="0" w:space="0"/>
              </w:rPr>
              <w:t>京外生源应届毕业生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72B7F"/>
    <w:rsid w:val="69972B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2018-05-24T02:03:00Z</dcterms:created>
  <dc:creator>ASUS</dc:creator>
  <cp:lastModifiedBy>ASUS</cp:lastModifiedBy>
  <dcterms:modified xsi:type="dcterms:W3CDTF">2018-05-24T02:03:48Z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