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 xml:space="preserve">考区及联系电话一览表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tbl>
      <w:tblPr>
        <w:tblW w:w="5746" w:type="dxa"/>
        <w:tblCellSpacing w:w="0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考 区 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考区联系电话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 阳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0851-86702453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 义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0851-28928298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 节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0857-8330294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铜 仁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0856-5220327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黔东南</w:t>
            </w:r>
          </w:p>
        </w:tc>
        <w:tc>
          <w:tcPr>
            <w:tcW w:w="39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0855-8558658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 顺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0851-33323202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六盘水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0858-8601424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 匀</w:t>
            </w:r>
          </w:p>
        </w:tc>
        <w:tc>
          <w:tcPr>
            <w:tcW w:w="39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0854-8738305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 定</w:t>
            </w:r>
          </w:p>
        </w:tc>
        <w:tc>
          <w:tcPr>
            <w:tcW w:w="39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0854-4956639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8E7C4"/>
    <w:multiLevelType w:val="multilevel"/>
    <w:tmpl w:val="8438E7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6A90"/>
    <w:rsid w:val="59736A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2018-04-12T08:15:00Z</dcterms:created>
  <dc:creator>ASUS</dc:creator>
  <cp:lastModifiedBy>ASUS</cp:lastModifiedBy>
  <dcterms:modified xsi:type="dcterms:W3CDTF">2018-04-12T08:15:07Z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