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</w:pPr>
      <w:r>
        <w:rPr>
          <w:rStyle w:val="4"/>
          <w:rFonts w:hint="eastAsia" w:ascii="宋体" w:hAnsi="宋体" w:eastAsia="宋体" w:cs="宋体"/>
          <w:color w:val="3F3F3F"/>
          <w:sz w:val="30"/>
          <w:szCs w:val="30"/>
          <w:bdr w:val="none" w:color="auto" w:sz="0" w:space="0"/>
        </w:rPr>
        <w:t xml:space="preserve">附件：              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F3F3F"/>
          <w:sz w:val="30"/>
          <w:szCs w:val="30"/>
          <w:bdr w:val="none" w:color="auto" w:sz="0" w:space="0"/>
        </w:rPr>
        <w:t>国家外汇管理局2017年度拟补充录用公务员名单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600"/>
      </w:pPr>
      <w:r>
        <w:rPr>
          <w:rFonts w:ascii="仿宋_GB2312" w:hAnsi="微软雅黑" w:eastAsia="仿宋_GB2312" w:cs="仿宋_GB2312"/>
          <w:color w:val="3F3F3F"/>
          <w:sz w:val="30"/>
          <w:szCs w:val="30"/>
          <w:bdr w:val="none" w:color="auto" w:sz="0" w:space="0"/>
        </w:rPr>
        <w:t> </w:t>
      </w:r>
    </w:p>
    <w:tbl>
      <w:tblPr>
        <w:tblW w:w="9855" w:type="dxa"/>
        <w:jc w:val="center"/>
        <w:tblCellSpacing w:w="15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978"/>
        <w:gridCol w:w="913"/>
        <w:gridCol w:w="544"/>
        <w:gridCol w:w="1790"/>
        <w:gridCol w:w="913"/>
        <w:gridCol w:w="1122"/>
        <w:gridCol w:w="2061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学  历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综合司（政策法规司）法律事务岗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陈黎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175111830514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（硕士）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西北政法大学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2005年11月至2007年12月陕西省宝鸡市城市管理综合执法局金台执法大队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2008年1月至2010年8月陕西省宝鸡市中级人民法院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2010年8月至2015年10月中共陕西省委政法委执法监督处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2016年1月至2016年9月北京德恒律师事务所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2016年9月至2018年2月中节能建筑节能有限公司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怀孕暂缓录用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1E04"/>
    <w:rsid w:val="7D671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2018-05-24T08:48:00Z</dcterms:created>
  <dc:creator>娜娜1413443272</dc:creator>
  <cp:lastModifiedBy>娜娜1413443272</cp:lastModifiedBy>
  <dcterms:modified xsi:type="dcterms:W3CDTF">2018-05-24T08:48:59Z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