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贵州省2018年省直及垂管系统公开招录公务员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职位招录计划取消和减少情况表</w:t>
      </w:r>
    </w:p>
    <w:tbl>
      <w:tblPr>
        <w:tblW w:w="8516" w:type="dxa"/>
        <w:jc w:val="center"/>
        <w:tblCellSpacing w:w="15" w:type="dxa"/>
        <w:tblInd w:w="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36"/>
        <w:gridCol w:w="1410"/>
        <w:gridCol w:w="1410"/>
        <w:gridCol w:w="141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部门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职位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计划招录人数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缴费人数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调整方式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000017贵州省农业委员会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01主任科员及以下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40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000042贵州省审计厅政府投资审计中心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02审计业务部门工作人员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000049开阳县固定资产投资审计评审中心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01审计业务部门工作人员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0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406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000104玉屏县固定资产投资审计评审中心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01审计业务部门工作人员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0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　　贵州省2018年省直及垂管系统公开招录人民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警察职位招录计划取消和减少情况表</w:t>
      </w:r>
    </w:p>
    <w:tbl>
      <w:tblPr>
        <w:tblW w:w="8518" w:type="dxa"/>
        <w:jc w:val="center"/>
        <w:tblCellSpacing w:w="15" w:type="dxa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432"/>
        <w:gridCol w:w="1443"/>
        <w:gridCol w:w="1371"/>
        <w:gridCol w:w="1414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部门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职位</w:t>
            </w:r>
          </w:p>
        </w:tc>
        <w:tc>
          <w:tcPr>
            <w:tcW w:w="1341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计划招录人数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缴费人数</w:t>
            </w:r>
          </w:p>
        </w:tc>
        <w:tc>
          <w:tcPr>
            <w:tcW w:w="1384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调整方式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4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40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00010贵州省司法警察医院（新康监狱）</w:t>
            </w:r>
          </w:p>
        </w:tc>
        <w:tc>
          <w:tcPr>
            <w:tcW w:w="141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04狱医</w:t>
            </w:r>
          </w:p>
        </w:tc>
        <w:tc>
          <w:tcPr>
            <w:tcW w:w="134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4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　</w:t>
      </w: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　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贵州省2018年省直及垂管系统机关公务员基层培养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Style w:val="4"/>
          <w:rFonts w:ascii="仿宋_GB2312" w:hAnsi="仿宋_GB2312" w:eastAsia="仿宋_GB2312" w:cs="仿宋_GB2312"/>
          <w:i w:val="0"/>
          <w:caps w:val="0"/>
          <w:color w:val="5B5B5B"/>
          <w:spacing w:val="0"/>
          <w:sz w:val="27"/>
          <w:szCs w:val="27"/>
          <w:bdr w:val="none" w:color="auto" w:sz="0" w:space="0"/>
          <w:shd w:val="clear" w:fill="FFFFFF"/>
        </w:rPr>
        <w:t>项目职位招录计划取消和减少情况表</w:t>
      </w:r>
    </w:p>
    <w:tbl>
      <w:tblPr>
        <w:tblW w:w="8515" w:type="dxa"/>
        <w:jc w:val="center"/>
        <w:tblCellSpacing w:w="15" w:type="dxa"/>
        <w:tblInd w:w="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425"/>
        <w:gridCol w:w="1412"/>
        <w:gridCol w:w="1412"/>
        <w:gridCol w:w="1412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部门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职位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计划招录人数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缴费人数</w:t>
            </w:r>
          </w:p>
        </w:tc>
        <w:tc>
          <w:tcPr>
            <w:tcW w:w="1382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调整方式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0004贵州省发展和改革委员会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02工作人员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0006贵州省无线电管理局黔南分局监测站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01监测站主任科员及以下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0007贵州省无线电管理局六盘水分局监测站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01监测站主任科员及以下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0008贵州省无线电管理局黔西南分局监测站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01监测站主任科员及以下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0010贵州省省级财政国库支付中心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01内设机构工作人员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0012贵州省城乡规划督察员办公室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0018贵州省农产品质量安全监督管理站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01综合科主任科员及以下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0023贵州省营林总站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03主任科员及以下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0023贵州省营林总站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04主任科员及以下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0024贵州省森林病虫检疫防治站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02主任科员及以下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0036六盘水市政府投资审计中心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01审计业务部门工作人员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计划减少1人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382" w:type="dxa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395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0038毕节市经济责任审计办公室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01审计业务部门工作人员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7"/>
                <w:szCs w:val="27"/>
                <w:bdr w:val="none" w:color="auto" w:sz="0" w:space="0"/>
              </w:rPr>
              <w:t>取消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</w:rPr>
      </w:pPr>
      <w:r>
        <w:rPr>
          <w:rFonts w:hint="eastAsia" w:ascii="新宋体" w:hAnsi="新宋体" w:eastAsia="新宋体" w:cs="新宋体"/>
          <w:b w:val="0"/>
          <w:i w:val="0"/>
          <w:caps w:val="0"/>
          <w:color w:val="5B5B5B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4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2018-03-23T05:42:30Z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