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贵州省青年就业见习鉴定表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16"/>
        <w:gridCol w:w="1944"/>
        <w:gridCol w:w="900"/>
        <w:gridCol w:w="900"/>
        <w:gridCol w:w="1260"/>
        <w:gridCol w:w="1080"/>
        <w:gridCol w:w="2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见习期间主要工作及成绩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见习单位意见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ind w:firstLine="5460" w:firstLineChars="195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01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人社部门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核定意见</w:t>
            </w:r>
          </w:p>
        </w:tc>
        <w:tc>
          <w:tcPr>
            <w:tcW w:w="848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8F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S%20Office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</Words>
  <Characters>151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寄遇d那天</cp:lastModifiedBy>
  <cp:lastPrinted>2019-08-23T03:17:00Z</cp:lastPrinted>
  <dcterms:modified xsi:type="dcterms:W3CDTF">2021-06-29T03:17:50Z</dcterms:modified>
  <dc:title>陈佳萍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42D0BEA34FF84B589AA8B1FB478DB14C</vt:lpwstr>
  </property>
</Properties>
</file>