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附加项计分统计表</w:t>
      </w:r>
    </w:p>
    <w:bookmarkEnd w:id="0"/>
    <w:p>
      <w:pPr>
        <w:pStyle w:val="4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姓名：                          单位：</w:t>
      </w:r>
    </w:p>
    <w:tbl>
      <w:tblPr>
        <w:tblStyle w:val="2"/>
        <w:tblpPr w:leftFromText="180" w:rightFromText="180" w:vertAnchor="text" w:horzAnchor="page" w:tblpX="1440" w:tblpY="281"/>
        <w:tblOverlap w:val="never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43"/>
        <w:gridCol w:w="1545"/>
        <w:gridCol w:w="860"/>
        <w:gridCol w:w="860"/>
        <w:gridCol w:w="1810"/>
        <w:gridCol w:w="177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32"/>
                <w:szCs w:val="32"/>
                <w:lang w:bidi="ar"/>
                <w14:textFill>
                  <w14:solidFill>
                    <w14:schemeClr w14:val="tx1"/>
                  </w14:solidFill>
                </w14:textFill>
              </w:rPr>
              <w:t>附加分项目</w:t>
            </w:r>
          </w:p>
        </w:tc>
        <w:tc>
          <w:tcPr>
            <w:tcW w:w="5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32"/>
                <w:szCs w:val="32"/>
                <w:lang w:bidi="ar"/>
                <w14:textFill>
                  <w14:solidFill>
                    <w14:schemeClr w14:val="tx1"/>
                  </w14:solidFill>
                </w14:textFill>
              </w:rPr>
              <w:t>分值权重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32"/>
                <w:szCs w:val="32"/>
                <w:lang w:bidi="ar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5" w:hRule="atLeast"/>
        </w:trPr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一、教学效果</w:t>
            </w:r>
          </w:p>
        </w:tc>
        <w:tc>
          <w:tcPr>
            <w:tcW w:w="5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从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2019-2022学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三年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以来所教学科第二学期人均分达县人均的每年加1分，总分3分。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</w:trPr>
        <w:tc>
          <w:tcPr>
            <w:tcW w:w="21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2019年9月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以来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辅导报考学科学生竞赛及培养学生特长获奖（须教育主管部门组织有效，同一奖项以最高获奖计分）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级别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一等奖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二等奖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三等奖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（优秀奖）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0" w:hRule="atLeast"/>
        </w:trPr>
        <w:tc>
          <w:tcPr>
            <w:tcW w:w="21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0.1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0" w:hRule="atLeast"/>
        </w:trPr>
        <w:tc>
          <w:tcPr>
            <w:tcW w:w="21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州级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5" w:hRule="atLeast"/>
        </w:trPr>
        <w:tc>
          <w:tcPr>
            <w:tcW w:w="21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省级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1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国家级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21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2019年9月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以来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优质课竞赛（含技能）（须教育主管部门组织并与报考学科相关，同一奖项以最高获奖计分）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级别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一等奖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二等奖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三等奖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（优秀奖）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2" w:hRule="atLeast"/>
        </w:trPr>
        <w:tc>
          <w:tcPr>
            <w:tcW w:w="21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县级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0.1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2" w:hRule="atLeast"/>
        </w:trPr>
        <w:tc>
          <w:tcPr>
            <w:tcW w:w="21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州级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21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省级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2" w:hRule="atLeast"/>
        </w:trPr>
        <w:tc>
          <w:tcPr>
            <w:tcW w:w="21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国家级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4" w:hRule="atLeast"/>
        </w:trPr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2019年9月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以来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各级政府表彰</w:t>
            </w:r>
          </w:p>
        </w:tc>
        <w:tc>
          <w:tcPr>
            <w:tcW w:w="5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县级1分，州级2分，省级3分，国家级4分。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3" w:hRule="atLeast"/>
        </w:trPr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五、年度考核</w:t>
            </w:r>
          </w:p>
        </w:tc>
        <w:tc>
          <w:tcPr>
            <w:tcW w:w="5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近三年（201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、20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、20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）年度考核获得优秀等次，每次加0.5分，总分1.5分。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7" w:hRule="atLeast"/>
        </w:trPr>
        <w:tc>
          <w:tcPr>
            <w:tcW w:w="72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40"/>
                <w:szCs w:val="40"/>
                <w:lang w:bidi="ar"/>
                <w14:textFill>
                  <w14:solidFill>
                    <w14:schemeClr w14:val="tx1"/>
                  </w14:solidFill>
                </w14:textFill>
              </w:rPr>
              <w:t>总    分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988" w:type="dxa"/>
            <w:gridSpan w:val="6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注：同一奖项以最高奖计分，不得重复计分。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xZGY1Y2Y3ODM0YjA3YmY1Njc4YTI1YzFjYWVhMzEifQ=="/>
  </w:docVars>
  <w:rsids>
    <w:rsidRoot w:val="00000000"/>
    <w:rsid w:val="70EB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2022-08-15T04:37:36Z</dcterms:created>
  <dc:creator>Administrator</dc:creator>
  <cp:lastModifiedBy>心雨心愿</cp:lastModifiedBy>
  <dcterms:modified xsi:type="dcterms:W3CDTF">2022-08-15T04:37:46Z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B0149EA16CD74969A77CE883EABF5ED8</vt:lpwstr>
  </property>
</Properties>
</file>