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75" w:lineRule="atLeast"/>
        <w:outlineLvl w:val="1"/>
        <w:rPr>
          <w:rFonts w:hint="eastAsia" w:ascii="黑体" w:eastAsia="黑体" w:cs="Helvetica"/>
          <w:color w:val="000000"/>
          <w:kern w:val="0"/>
          <w:sz w:val="28"/>
          <w:szCs w:val="28"/>
          <w:lang w:val="en-US" w:eastAsia="zh-CN"/>
        </w:rPr>
      </w:pPr>
      <w:r>
        <w:rPr>
          <w:rFonts w:hint="eastAsia" w:ascii="黑体" w:eastAsia="黑体" w:cs="Helvetica"/>
          <w:color w:val="000000"/>
          <w:kern w:val="0"/>
          <w:sz w:val="28"/>
          <w:szCs w:val="28"/>
        </w:rPr>
        <w:t>附件</w:t>
      </w:r>
      <w:r>
        <w:rPr>
          <w:rFonts w:hint="eastAsia" w:ascii="黑体" w:eastAsia="黑体" w:cs="Helvetica"/>
          <w:color w:val="000000"/>
          <w:kern w:val="0"/>
          <w:sz w:val="28"/>
          <w:szCs w:val="28"/>
          <w:lang w:val="en-US" w:eastAsia="zh-CN"/>
        </w:rPr>
        <w:t>3</w:t>
      </w:r>
    </w:p>
    <w:p>
      <w:pPr>
        <w:widowControl/>
        <w:shd w:val="clear" w:color="auto" w:fill="FFFFFF"/>
        <w:spacing w:line="675" w:lineRule="atLeast"/>
        <w:outlineLvl w:val="1"/>
        <w:rPr>
          <w:rFonts w:hint="eastAsia" w:ascii="黑体" w:eastAsia="黑体" w:cs="Helvetica"/>
          <w:color w:val="000000"/>
          <w:kern w:val="0"/>
          <w:sz w:val="28"/>
          <w:szCs w:val="28"/>
          <w:lang w:val="en-US" w:eastAsia="zh-CN"/>
        </w:rPr>
      </w:pPr>
    </w:p>
    <w:p>
      <w:pPr>
        <w:widowControl/>
        <w:shd w:val="clear" w:color="auto" w:fill="FFFFFF"/>
        <w:spacing w:line="600" w:lineRule="exact"/>
        <w:jc w:val="center"/>
        <w:outlineLvl w:val="1"/>
        <w:rPr>
          <w:rFonts w:ascii="Helvetica" w:hAnsi="Helvetica" w:eastAsia="宋体" w:cs="Helvetica"/>
          <w:color w:val="000000"/>
          <w:kern w:val="0"/>
          <w:sz w:val="45"/>
          <w:szCs w:val="45"/>
        </w:rPr>
      </w:pPr>
      <w:r>
        <w:rPr>
          <w:rFonts w:ascii="Helvetica" w:hAnsi="Helvetica" w:eastAsia="宋体" w:cs="Helvetica"/>
          <w:color w:val="000000"/>
          <w:kern w:val="0"/>
          <w:sz w:val="45"/>
          <w:szCs w:val="45"/>
        </w:rPr>
        <w:t>贵州省2022年人事考试新冠肺炎疫情防控要求（第三版）</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p>
    <w:p>
      <w:pPr>
        <w:pStyle w:val="7"/>
        <w:shd w:val="clear" w:color="auto" w:fill="FFFFFF"/>
        <w:spacing w:before="0" w:beforeAutospacing="0" w:after="0" w:afterAutospacing="0" w:line="560" w:lineRule="exact"/>
        <w:ind w:left="0" w:firstLine="640" w:firstLineChars="200"/>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凡报名参加由贵州省人力资源和社会保障厅考试院（贵州省公务员考试测评中心</w:t>
      </w:r>
      <w:bookmarkStart w:id="0" w:name="_GoBack"/>
      <w:bookmarkEnd w:id="0"/>
      <w:r>
        <w:rPr>
          <w:rFonts w:hint="eastAsia" w:ascii="仿宋_GB2312" w:eastAsia="仿宋_GB2312" w:cs="Helvetica"/>
          <w:color w:val="000000"/>
          <w:sz w:val="32"/>
          <w:szCs w:val="32"/>
        </w:rPr>
        <w:t>）组织实施的2022年各项人事考试的考生，须严格遵守《贵州省2022年人事考试新冠肺炎疫情防控要求（第三版）》。网上报名时，须认真阅读相关考试的公告、通知等文件，并在网上报名系统中签署新冠肺炎疫情防控告知暨承诺书，承诺已知悉告知事项和防疫要求，自愿承担因不实承诺应承担的相关责任、接受相应处理。考试全过程，考生应自觉接受工作人员检查，如实报告个人情况，主动出示疫情防控检查所需的健康码绿码、国家通信行程卡、核酸采样证明、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一、疫情防控要求</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根据贵州省最新疫情防控规定，对参加贵州省各项人事考试的考生防疫要求如下：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（一）不符合国家、省有关疫情防控要求，不遵守有关疫情防控规定的人员不得进入考点参加考试。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（二）处于康复或隔离期的病例、无症状感染者不得进入考点参加考试。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（三）未解除隔离的疑似病例、确诊病例以及无症状感染者的密切接触者不得进入考点参加考试。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（四）处于集中隔离、居家健康监测期间的人员不得进入考点参加考试。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（五）对流动、出行须报备并提供相应证明材料的人员，未按要求报备或未按要求提供相应证明材料的不得进入考点参加考试。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（六）考试当天，经现场医务人员评估有可疑症状且不能排除新冠感染的考生，应配合工作人员按卫生健康部门要求到相应医院就诊，不得进入考点参加考试。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（七）考前14天内有中高风险地区旅居史的考生，不得进入考点参加考试。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（八）目前上海市低风险地区来（返）黔人员，未完成3天集中隔离+7天居家健康监测，未达到解除条件的考生不得进入考点参加考试。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九）贵州健康码灰码人员不得进入考点参加考试。（按贵州省最新疫情防控规定，灰码人员需落实5天3检，包括时空交集人员、14天内有本土新冠肺炎阳性感染者所在地级市（直辖市为区）的低风险地区旅居史人员、行程卡带星号人员、陆地口岸城市来（返）黔人员中未携带48小时内核酸检测阴性证明的人员及其他需落实5天3检的人员。上述人员抵黔当天贵州健康码不转为灰码，但若抵黔后超过24小时未完成第1次核酸采样、抵黔后超过72小时未完成第2次核酸采样、抵黔后超过5天未完成第3次核酸采样的，贵州健康码都将变为灰码。按以上要求完成相应次数的核酸采样后，转为绿码。建议省外来（返）黔考生密切关注贵州健康码关于5天3检的信息提示，需落实5天3检的考生，务必严格按要求完成核酸采样，避免出现灰码情况。）</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除符合其他防疫要求外，所有考生均须提供贵州省内考前48小时内1次核酸检测阴性证明，方可进入考点参加考试。在连续两天举行的我省人事考试中，第二天考试时提供第一天考试时提供的核酸检测阴性证明即可。（需落实5天3检的考生，其5天3检中任意一次核酸检测阴性证明采样时间在考前48小时以内的，无需再重复提供考前48小时内的核酸检测阴性证明，第二天继续参加考试的，除提供第一天考试时的核酸检测阴性证明外，还须同时确保按5天3检要求完成相应次数的核酸采样。）</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（十一）原则上所有考生均须按照应接尽接、应接必接的要求完成新冠疫苗全程接种及加强免疫。</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（十二）考生应自备一次性使用医用口罩。考试期间，除核验身份时，考生应全程规范佩戴一次性使用医用口罩。未按要求佩戴口罩的考生，不得进入考点参加考试。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三）各科目开考前100分钟，考生即可开始接受检测进入考点，但不能进入考场。考生应尽早到达考点，提前做好入场检测准备，确保入场检测时间充足、秩序良好。不符合入场检测规定的考生，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四）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五）除考生和工作人员外，无关人员一律不得进入考点。除考试相关公务车辆和工作人员车辆外，社会车辆不得进入考点。提醒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十六）为确保顺利参加考试，建议考生关注国务院客户端微信公众号，在便民服务栏里点击各地防控政策选择出发地和目的地，及时了解各地的防控政策；建议考生提前做好个人健康申报、提前预约核酸检测、提前进行自我健康状况监测和贵州健康码绿码核验，若贵州健康码与本人状况不符，请立即咨询并及时按要求处置；为避免14天内所旅居地级市（直辖市为区）出现本土新冠肺炎阳性感染者影响考生参加考试，建议考生提前抵黔，为进行相应次数的核酸检测预留足够时间。</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贵州健康码使用和贵州省疫情防控咨询电话：0851-12345。</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二、入场检测规定</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入场检测时，考生须同时符合以下全部要求，方可进入考点参加考试：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（一）本人贵州健康码绿码；</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（二）经检测体温正常（低于37.3</w:t>
      </w:r>
      <w:r>
        <w:rPr>
          <w:rFonts w:hint="eastAsia" w:ascii="仿宋_GB2312" w:eastAsia="仿宋_GB2312"/>
          <w:color w:val="000000"/>
          <w:sz w:val="32"/>
          <w:szCs w:val="32"/>
        </w:rPr>
        <w:t>℃</w:t>
      </w:r>
      <w:r>
        <w:rPr>
          <w:rFonts w:hint="eastAsia" w:ascii="仿宋_GB2312" w:eastAsia="仿宋_GB2312" w:cs="Helvetica"/>
          <w:color w:val="000000"/>
          <w:sz w:val="32"/>
          <w:szCs w:val="32"/>
        </w:rPr>
        <w:t>）；</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（三）佩戴一次性使用医用口罩；</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（四）按本文规定提供相应的核酸采样证明、核酸检测阴性证明。</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三、入场检测步骤</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考生须佩戴一次性使用医用口罩提前到达检测点排队，入场检测通道分别设置特殊检测通道和常规检测通道两类。</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（一）特殊检测通道</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需落实5天3检的考生（即贵州健康码出现温馨提示弹窗或首页出现需5天3检标识）、国家通信行程卡带星号的考生、14天内有本土新冠肺炎阳性感染者所在地级市（直辖市为区）低风险地区旅居史的考生，须主动进入特殊检测通道。</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具体检测步骤如下：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考生到特殊检测通道提交考试当天本人贵州健康码绿码、抵黔后按5天3检要求完成的相应次数的核酸采样证明、贵州省内考前48小时内1次核酸检测阴性证明、《准考证》等相应证明材料报检测人员核验并接受体温检测。经检测合格的，检测人员在《准考证》上加盖入场检测合格章。</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（二）常规检测通道</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其余考生进入常规检测通道，常规检测通道分两步进行检测，具体检测步骤如下：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1.第一步检测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考生须提前准备好考试当天本人贵州健康码绿码、贵州省内考前48小时内1次核酸检测阴性证明和《准考证》报检测人员核验并接受体温检测。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经第一步检测合格的，迅速前往第二步检测点。</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2.第二步检测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考生前往第二步检测点过程中须提前准备好考试当天本人国家通信行程卡和《准考证》报检测人员核验。国家通信行程卡可通过在贵州健康码下方点击行程卡直接转入，或通过扫码打开。</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经第二步检测合格的，检测人员在《准考证》上加盖入场检测合格章。</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如发现需落实5天3检的考生，立即转入特殊检测通道检测。</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（三）临时隔离检查点</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符合其他疫情防控要求，但体温≥37.3</w:t>
      </w:r>
      <w:r>
        <w:rPr>
          <w:rFonts w:hint="eastAsia" w:ascii="仿宋_GB2312" w:eastAsia="仿宋_GB2312"/>
          <w:color w:val="000000"/>
          <w:sz w:val="32"/>
          <w:szCs w:val="32"/>
        </w:rPr>
        <w:t>℃</w:t>
      </w:r>
      <w:r>
        <w:rPr>
          <w:rFonts w:hint="eastAsia" w:ascii="仿宋_GB2312" w:eastAsia="仿宋_GB2312" w:cs="Helvetica"/>
          <w:color w:val="000000"/>
          <w:sz w:val="32"/>
          <w:szCs w:val="32"/>
        </w:rPr>
        <w:t>的考生，须立即进入临时隔离检查点，间隔15分钟后，由现场医务人员使用水银体温计进行体温复测，经复测体温正常（低于37.3</w:t>
      </w:r>
      <w:r>
        <w:rPr>
          <w:rFonts w:hint="eastAsia" w:ascii="仿宋_GB2312" w:eastAsia="仿宋_GB2312"/>
          <w:color w:val="000000"/>
          <w:sz w:val="32"/>
          <w:szCs w:val="32"/>
        </w:rPr>
        <w:t>℃</w:t>
      </w:r>
      <w:r>
        <w:rPr>
          <w:rFonts w:hint="eastAsia" w:ascii="仿宋_GB2312" w:eastAsia="仿宋_GB2312" w:cs="Helvetica"/>
          <w:color w:val="000000"/>
          <w:sz w:val="32"/>
          <w:szCs w:val="32"/>
        </w:rPr>
        <w:t>）的，可参加考试。经复测体温仍≥37.3</w:t>
      </w:r>
      <w:r>
        <w:rPr>
          <w:rFonts w:hint="eastAsia" w:ascii="仿宋_GB2312" w:eastAsia="仿宋_GB2312"/>
          <w:color w:val="000000"/>
          <w:sz w:val="32"/>
          <w:szCs w:val="32"/>
        </w:rPr>
        <w:t>℃</w:t>
      </w:r>
      <w:r>
        <w:rPr>
          <w:rFonts w:hint="eastAsia" w:ascii="仿宋_GB2312" w:eastAsia="仿宋_GB2312" w:cs="Helvetica"/>
          <w:color w:val="000000"/>
          <w:sz w:val="32"/>
          <w:szCs w:val="32"/>
        </w:rPr>
        <w:t>的，不得进入考点参加考试。</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四、《贵州省2022年人事考试新冠肺炎疫情防控要求（第二版）》停止使用。</w:t>
      </w:r>
    </w:p>
    <w:p>
      <w:pPr>
        <w:pStyle w:val="7"/>
        <w:shd w:val="clear" w:color="auto" w:fill="FFFFFF"/>
        <w:spacing w:before="0" w:beforeAutospacing="0" w:after="0" w:afterAutospacing="0" w:line="560" w:lineRule="exact"/>
        <w:ind w:firstLine="566" w:firstLineChars="177"/>
        <w:jc w:val="both"/>
        <w:rPr>
          <w:rFonts w:hint="eastAsia" w:ascii="仿宋_GB2312" w:eastAsia="仿宋_GB2312" w:cs="Helvetica"/>
          <w:color w:val="000000"/>
          <w:sz w:val="32"/>
          <w:szCs w:val="32"/>
        </w:rPr>
      </w:pPr>
      <w:r>
        <w:rPr>
          <w:rFonts w:hint="eastAsia" w:ascii="仿宋_GB2312" w:eastAsia="仿宋_GB2312" w:cs="Helvetica"/>
          <w:color w:val="000000"/>
          <w:sz w:val="32"/>
          <w:szCs w:val="32"/>
        </w:rPr>
        <w:t>五、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Pr>
        <w:spacing w:line="560" w:lineRule="exact"/>
        <w:ind w:firstLine="566" w:firstLineChars="177"/>
        <w:rPr>
          <w:rFonts w:hint="eastAsia" w:ascii="仿宋_GB2312" w:eastAsia="仿宋_GB2312"/>
          <w:sz w:val="32"/>
          <w:szCs w:val="32"/>
        </w:rPr>
      </w:pPr>
    </w:p>
    <w:sectPr>
      <w:pgSz w:w="11907" w:h="16840"/>
      <w:pgMar w:top="1814" w:right="1474" w:bottom="1928" w:left="1588"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000000"/>
    <w:rsid w:val="1F6C226C"/>
    <w:rsid w:val="5CE60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widowControl/>
      <w:spacing w:before="100" w:beforeAutospacing="1" w:after="100" w:afterAutospacing="1"/>
      <w:jc w:val="left"/>
      <w:outlineLvl w:val="1"/>
    </w:pPr>
    <w:rPr>
      <w:rFonts w:ascii="宋体" w:eastAsia="宋体" w:cs="宋体"/>
      <w:b/>
      <w:bCs/>
      <w:kern w:val="0"/>
      <w:sz w:val="36"/>
      <w:szCs w:val="36"/>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9">
    <w:name w:val="Default Paragraph Font"/>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7</Pages>
  <Words>3253</Words>
  <Characters>3304</Characters>
  <Lines>146</Lines>
  <Paragraphs>48</Paragraphs>
  <TotalTime>27</TotalTime>
  <ScaleCrop>false</ScaleCrop>
  <LinksUpToDate>false</LinksUpToDate>
  <CharactersWithSpaces>3304</CharactersWithSpaces>
  <Application>WPS Office_11.8.6.9023_F1E327BC-269C-435d-A152-05C5408002CA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2022-07-05T01:42:00Z</dcterms:created>
  <dc:creator>人力资源市场处收发员</dc:creator>
  <cp:lastModifiedBy>Administrator</cp:lastModifiedBy>
  <cp:lastPrinted>2022-07-06T02:18:00Z</cp:lastPrinted>
  <dcterms:modified xsi:type="dcterms:W3CDTF">2022-07-07T08:23:19Z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